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  <w:tab/>
        <w:tab/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Jutrosin, dnia 02.12.2021 r.</w:t>
      </w:r>
    </w:p>
    <w:p>
      <w:pPr>
        <w:pStyle w:val="Standard"/>
        <w:spacing w:lineRule="auto" w:line="240" w:before="0" w:after="0"/>
        <w:jc w:val="right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andard"/>
        <w:spacing w:lineRule="auto" w:line="240" w:before="0" w:after="0"/>
        <w:rPr/>
      </w:pPr>
      <w:r>
        <w:rPr>
          <w:rFonts w:cs="Times New Roman" w:ascii="Times New Roman" w:hAnsi="Times New Roman"/>
          <w:sz w:val="24"/>
        </w:rPr>
        <w:t>RIOŚiGN.</w:t>
      </w:r>
      <w:r>
        <w:rPr>
          <w:rFonts w:cs="Times New Roman" w:ascii="Times New Roman" w:hAnsi="Times New Roman"/>
          <w:i/>
          <w:sz w:val="24"/>
        </w:rPr>
        <w:t>271.7.2021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</w:r>
    </w:p>
    <w:p>
      <w:pPr>
        <w:pStyle w:val="Normal"/>
        <w:spacing w:lineRule="auto" w:line="240"/>
        <w:ind w:left="6379" w:right="0" w:hanging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ab/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ZAPYTANIE OFERTOWE</w:t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Standard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Standard"/>
        <w:spacing w:lineRule="auto" w:line="240" w:before="0" w:after="0"/>
        <w:ind w:left="0" w:right="0" w:firstLine="708"/>
        <w:jc w:val="both"/>
        <w:rPr/>
      </w:pPr>
      <w:r>
        <w:rPr>
          <w:rFonts w:cs="Times New Roman" w:ascii="Times New Roman" w:hAnsi="Times New Roman"/>
          <w:sz w:val="24"/>
        </w:rPr>
        <w:t>Gmina Jutrosin zaprasza do złożenia oferty na „</w:t>
      </w: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Budowa przejścia dla pieszych na ul. 700-lecia w Jutrosinie</w:t>
      </w:r>
      <w:r>
        <w:rPr>
          <w:rFonts w:cs="Times New Roman" w:ascii="Times New Roman" w:hAnsi="Times New Roman"/>
          <w:sz w:val="24"/>
        </w:rPr>
        <w:t xml:space="preserve">” </w:t>
      </w:r>
      <w:bookmarkStart w:id="0" w:name="_GoBack"/>
      <w:bookmarkEnd w:id="0"/>
    </w:p>
    <w:p>
      <w:pPr>
        <w:pStyle w:val="Standard"/>
        <w:spacing w:lineRule="auto" w:line="240" w:before="0" w:after="0"/>
        <w:ind w:left="0" w:right="0" w:firstLine="709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ZAMAWIAJĄCY:</w:t>
      </w:r>
    </w:p>
    <w:p>
      <w:pPr>
        <w:pStyle w:val="Standard"/>
        <w:spacing w:lineRule="auto" w:line="240" w:before="0" w:after="0"/>
        <w:rPr>
          <w:bCs/>
          <w:sz w:val="24"/>
        </w:rPr>
      </w:pPr>
      <w:r>
        <w:rPr>
          <w:bCs/>
          <w:sz w:val="24"/>
        </w:rPr>
        <w:t xml:space="preserve"> </w:t>
      </w:r>
      <w:r>
        <w:rPr>
          <w:bCs/>
          <w:sz w:val="24"/>
        </w:rPr>
        <w:t>Gmina Jutrosin</w:t>
        <w:br/>
        <w:t xml:space="preserve"> ul. Rynek 26</w:t>
        <w:br/>
        <w:t xml:space="preserve"> 63-930 Jutrosin </w:t>
      </w:r>
    </w:p>
    <w:p>
      <w:pPr>
        <w:pStyle w:val="BodyText2"/>
        <w:rPr/>
      </w:pPr>
      <w:r>
        <w:rPr>
          <w:b w:val="false"/>
          <w:bCs/>
          <w:sz w:val="24"/>
        </w:rPr>
        <w:t xml:space="preserve"> </w:t>
      </w:r>
      <w:r>
        <w:rPr>
          <w:b w:val="false"/>
          <w:bCs/>
          <w:sz w:val="24"/>
        </w:rPr>
        <w:t xml:space="preserve">tel. </w:t>
      </w:r>
      <w:r>
        <w:rPr>
          <w:rStyle w:val="Mocnewyrnione"/>
          <w:b/>
          <w:bCs w:val="false"/>
          <w:sz w:val="24"/>
        </w:rPr>
        <w:t xml:space="preserve">65 547 14 19 </w:t>
      </w:r>
      <w:r>
        <w:rPr>
          <w:b w:val="false"/>
          <w:sz w:val="24"/>
        </w:rPr>
        <w:t xml:space="preserve"> </w:t>
      </w:r>
    </w:p>
    <w:p>
      <w:pPr>
        <w:pStyle w:val="BodyText2"/>
        <w:rPr/>
      </w:pPr>
      <w:r>
        <w:rPr>
          <w:rStyle w:val="Mocnewyrnione"/>
          <w:b/>
          <w:bCs w:val="false"/>
          <w:sz w:val="24"/>
        </w:rPr>
        <w:t xml:space="preserve"> </w:t>
      </w:r>
      <w:r>
        <w:rPr>
          <w:rStyle w:val="Mocnewyrnione"/>
          <w:b/>
          <w:bCs w:val="false"/>
          <w:sz w:val="24"/>
        </w:rPr>
        <w:t>te</w:t>
      </w:r>
      <w:r>
        <w:rPr>
          <w:rStyle w:val="Mocnewyrnione"/>
          <w:b/>
          <w:sz w:val="24"/>
        </w:rPr>
        <w:t xml:space="preserve">l. </w:t>
      </w:r>
      <w:r>
        <w:rPr>
          <w:rStyle w:val="Mocnewyrnione"/>
          <w:b/>
          <w:bCs w:val="false"/>
          <w:sz w:val="24"/>
        </w:rPr>
        <w:t>65 547 15 98</w:t>
      </w:r>
      <w:r>
        <w:rPr>
          <w:b w:val="false"/>
          <w:bCs/>
          <w:sz w:val="24"/>
        </w:rPr>
        <w:t xml:space="preserve"> </w:t>
      </w:r>
    </w:p>
    <w:p>
      <w:pPr>
        <w:pStyle w:val="BodyText2"/>
        <w:rPr>
          <w:b w:val="false"/>
          <w:b w:val="false"/>
          <w:bCs/>
          <w:sz w:val="24"/>
          <w:lang w:val="de-DE"/>
        </w:rPr>
      </w:pPr>
      <w:r>
        <w:rPr>
          <w:b w:val="false"/>
          <w:bCs/>
          <w:sz w:val="24"/>
          <w:lang w:val="de-DE"/>
        </w:rPr>
        <w:t xml:space="preserve"> </w:t>
      </w:r>
      <w:r>
        <w:rPr>
          <w:b w:val="false"/>
          <w:bCs/>
          <w:sz w:val="24"/>
          <w:lang w:val="de-DE"/>
        </w:rPr>
        <w:t>NIP: 6991867802</w:t>
      </w:r>
    </w:p>
    <w:p>
      <w:pPr>
        <w:pStyle w:val="Standard"/>
        <w:spacing w:lineRule="auto" w:line="240" w:before="0" w:after="0"/>
        <w:jc w:val="both"/>
        <w:rPr/>
      </w:pPr>
      <w:r>
        <w:rPr>
          <w:rStyle w:val="Czeinternetowe"/>
          <w:rFonts w:cs="Times New Roman" w:ascii="Times New Roman" w:hAnsi="Times New Roman"/>
          <w:sz w:val="24"/>
          <w:lang w:val="de-DE"/>
        </w:rPr>
        <w:t xml:space="preserve"> </w:t>
      </w:r>
      <w:r>
        <w:rPr>
          <w:rStyle w:val="Czeinternetowe"/>
          <w:rFonts w:cs="Times New Roman" w:ascii="Times New Roman" w:hAnsi="Times New Roman"/>
          <w:sz w:val="24"/>
          <w:lang w:val="de-DE"/>
        </w:rPr>
        <w:t>http://www.jutrosin.eu/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cs="Times New Roman" w:ascii="Times New Roman" w:hAnsi="Times New Roman"/>
          <w:sz w:val="24"/>
          <w:lang w:val="de-DE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Postępowanie prowadzone jest w trybie zapytania ofertowego na udzielenie zamówienia publicznego o wartości mniejszej niż kwota 130 000 zł, która jest wskazana w art. 2 ust. 1 pkt 1 ustawy z dnia 11 września 2019 r. Prawo zamówień publicznych (Dz. U. z 2021 poz. 1129 z późn. zm.).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lang w:val="de-DE"/>
        </w:rPr>
      </w:pPr>
      <w:r>
        <w:rPr>
          <w:rFonts w:cs="Times New Roman" w:ascii="Times New Roman" w:hAnsi="Times New Roman"/>
          <w:sz w:val="24"/>
          <w:lang w:val="de-DE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lang w:val="de-DE"/>
        </w:rPr>
      </w:pPr>
      <w:r>
        <w:rPr>
          <w:rFonts w:cs="Times New Roman" w:ascii="Times New Roman" w:hAnsi="Times New Roman"/>
          <w:b/>
          <w:sz w:val="24"/>
          <w:lang w:val="de-DE"/>
        </w:rPr>
        <w:t>I. OPIS PRZEDMIOTU ZAMÓWIENIA: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Cs/>
          <w:color w:val="auto"/>
          <w:kern w:val="0"/>
          <w:sz w:val="24"/>
          <w:szCs w:val="24"/>
          <w:lang w:val="pl-PL" w:eastAsia="en-US" w:bidi="ar-SA"/>
        </w:rPr>
        <w:t>Zamówienie</w:t>
      </w:r>
      <w:r>
        <w:rPr>
          <w:rFonts w:cs="Times New Roman" w:ascii="Times New Roman" w:hAnsi="Times New Roman"/>
          <w:bCs/>
          <w:sz w:val="24"/>
          <w:szCs w:val="24"/>
        </w:rPr>
        <w:t xml:space="preserve"> przewiduje przebudow</w:t>
      </w:r>
      <w:r>
        <w:rPr>
          <w:rFonts w:ascii="Times New Roman" w:hAnsi="Times New Roman"/>
          <w:sz w:val="24"/>
          <w:szCs w:val="24"/>
        </w:rPr>
        <w:t>ę istniejącego przejścia dla pieszych i przejazdu dla rowerów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zlokalizowanego w obszarze zabudowanym. Przebudowa polegać będzie na wykonaniu wyniesionego przejścia dla pieszych i przejazdu dla rowerów dostosowanego do wysokości chodnika, Skos rampy najazdowej przejścia 1:15.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przejście zostanie doświetlone lampami hybrydowymi.  Zaleca się wyróżnić obszar przejścia dla pieszych barwą światła. Oprawy oświetleniowe dedykowane powinny być zamocowane poniżej linii opraw oświetlenia drogowego (na wysokości pomiędzy 5,0 a 6,5 m).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przejściu zastosowa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również system fakturowych oznaczeń nawierzchni dla osób z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dysfunkcjami wzroku. Płytki ostrzegawcze i płytki prowadzące stosowane do wykonywania ścieżek dotykowych prowadzących osoby z niepełnosprawnościami wzroku powinny posiadać kolorystykę kontrastującą z kolorystyką nawierzchni drogi dla pieszych lub obszarów otaczających. Współczynnik kontrastu barwnego LRV pomiędzy płytkami ścieżek prowadzących i nawierzchnią powinien wynosić LRV &gt; 30 dla normalnych warunków. Dla zapewnienia kontrastu barwnego pomiędzy kolorystyką ścieżki prowadzącej i kolorystyką otoczenia płytki ostrzegawcze zostaną wykonane w kolorze żółtym, a płytki prowadzące wkolorze jasnym (beżowy, jasno żółty, biały).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Wszystkie ww. rozwiązania </w:t>
      </w:r>
      <w:r>
        <w:rPr>
          <w:rFonts w:eastAsia="Calibri" w:ascii="Times New Roman" w:hAnsi="Times New Roman"/>
          <w:color w:val="auto"/>
          <w:kern w:val="0"/>
          <w:sz w:val="24"/>
          <w:szCs w:val="24"/>
          <w:lang w:val="pl-PL" w:eastAsia="en-US" w:bidi="ar-SA"/>
        </w:rPr>
        <w:t>zastosować</w:t>
      </w:r>
      <w:r>
        <w:rPr>
          <w:rFonts w:ascii="Times New Roman" w:hAnsi="Times New Roman"/>
          <w:sz w:val="24"/>
          <w:szCs w:val="24"/>
        </w:rPr>
        <w:t xml:space="preserve"> zgodnie ze wzorcami i standardami rekomendowanymi przez Ministra właściwego ds. transportu (WR-D-41-2; WR-D-41-3; WR-D-41-4).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przejście dla pieszych i przejazd dla rowerów oznakowa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aktywnymi znakami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pionowymi D-6b, a na jezdni wykona</w:t>
      </w:r>
      <w:r>
        <w:rPr>
          <w:rFonts w:ascii="Times New Roman" w:hAnsi="Times New Roman"/>
          <w:sz w:val="24"/>
          <w:szCs w:val="24"/>
        </w:rPr>
        <w:t>ć</w:t>
      </w:r>
      <w:r>
        <w:rPr>
          <w:rFonts w:ascii="Times New Roman" w:hAnsi="Times New Roman"/>
          <w:sz w:val="24"/>
          <w:szCs w:val="24"/>
        </w:rPr>
        <w:t xml:space="preserve"> oznakowanie poziome, grubowarstwowe P-10, P-11 i P-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</w:p>
    <w:p>
      <w:pPr>
        <w:pStyle w:val="Normal"/>
        <w:spacing w:lineRule="auto" w:line="24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przewiduje również wykonanie chodnika (dojścia do przejścia dla pieszych) i zjazdów do posesji po prawej stronie jezdni przy placu zabaw, na długości 76 mb. Nową nawierzchnię chodnika i zjazdów stanowić będzie kostka brukowa typu cegła, odpowiednio koloru szarego i czerwonego. Roboty związane z budową chodnika obejmują rozebranie istniejących nawierzchni i krawężników, wykonanie koryta pod warstwy konstrukcyjne, profilowanie i zagęszczanie podłoża, wykonanie podbudowy z gruntu stabilizowanego cementem C1,5/2,0 o grubości 15 cm, ustawienie obrzeży betonowych 6×20 cm na ławie betonowej z oporem z betonu klasy C8/10 oraz krawężników betonowych 15×30 cm na ławie betonowej z oporem klasy C12/15. Na koniec należy ułożyć nawierzchnię chodnika z betonowej kostki brukowej typu Domino koloru szarego odpowiednio na podsypce cementowo-piaskowej grubości 3-5 cm. W przypadku zjazdów kolejnym krokiem jest wykonanie warstwy podbudowy zasadniczej z betonu C8/10, grubości 25 cm. Na koniec należy ułożyć nawierzchnię chodnika i zjazdów z betonowej kostki brukowej typu cegła koloru szarego i czerwonego odpowiednio na podsypce cementowo-piaskowej grubości 3-5 cm.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>Przy wykonawstwie oraz odbiorze robót objętych zamówieniem obowiązywać będą zasady i wymagania dotyczące zasad prowadzenia robót, jak również ogólne wymagania dotyczące wykonania i odbioru robót budowlanych określone w: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>- projekcie budowlanym,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>- zapytaniu ofertowym z załącznikami,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 xml:space="preserve">- kosztorysie ofertowym,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  <w:t>- obowiązujących normach.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cs="Times New Roman" w:ascii="Times New Roman" w:hAnsi="Times New Roman"/>
          <w:bCs/>
          <w:sz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II. WARUNKI UDZIAŁU W POSTĘPOWANIU O UDZIELENIE ZAMÓWIENIA PUBLICZNEGO ORAZ OPIS SPOSOBU DOKONYWANIA OCENY ICH SPEŁNIANIA: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 udzielenie zamówienie mogą ubiegać się Wykonawcy, którzy spełniają poniższe warunki udziału w postępowaniu:</w:t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a) w zakresie zdolności do występowania w obrocie gospodarczym:</w:t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Zamawiający nie określa szczegółowego warunku w tym zakresie.</w:t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b) w zakresie uprawnień do prowadzenia określonej działalności gospodarczej lub zawodowej, o ile wynika to z odrębnych przepisów:</w:t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Zamawiający nie określa szczegółowego warunku w tym zakresie.</w:t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c) w zakresie sytuacji ekonomicznej lub finansowej:</w:t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Zamawiający nie określa szczegółowego warunku w tym zakresie.</w:t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d) w zakresie zdolności technicznej lub zawodowej:</w:t>
      </w:r>
    </w:p>
    <w:p>
      <w:pPr>
        <w:pStyle w:val="Normal"/>
        <w:spacing w:lineRule="auto" w:line="240" w:before="0" w:after="0"/>
        <w:ind w:left="709" w:right="0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- o udzielenie zamówienia mogą ubiegać się Wykonawcy, którzy wykażą, że nie wcześniej niż w okresie ostatnich 5 lat przed upływem terminu składania ofert, a jeżeli okres prowadzenia działalności jest krótszy – w tym okresie, wykonali należycie, co najmniej 1 robotę budowlaną polegającą na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l-PL" w:eastAsia="pl-PL" w:bidi="ar-SA"/>
        </w:rPr>
        <w:t xml:space="preserve">budowie,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l-PL" w:eastAsia="pl-PL" w:bidi="ar-SA"/>
        </w:rPr>
        <w:t>przebudowie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l-PL" w:eastAsia="pl-PL" w:bidi="ar-SA"/>
        </w:rPr>
        <w:t xml:space="preserve"> chodnika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pl-PL" w:eastAsia="pl-PL" w:bidi="ar-SA"/>
        </w:rPr>
        <w:t>lub utwardzeniu terenu, lub budowie, przebudowie drogi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o łącznej wartości minimum 30 000 zł brutto.</w:t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celu potwierdzenia spełnienia przez Wykonawcę warunków udziału w postępowaniu, Zamawiający żąda następujących dokumentów:</w:t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- wykaz robót budowlanych wykonanych nie wcześniej niż w okresie ostatnich 5 lat, a jeżeli okres prowadzenia działalności jest krótszy - w tym okresie, wraz z podaniem ich rodzaju, wartości, daty i miejsca wykonania oraz podmiotów, na rzecz których roboty te zostały wykonane (wg wzoru stanowiącego załącznik nr 2 do zapytania ofertowego),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dokumenty.</w:t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Wyżej wskazany okres 5 lat liczy się wstecz od dnia, w którym upływa termin składania ofert.</w:t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Jeżeli Wykonawca powołuje się na doświadczenie w realizacji robót budowlanych wykonanych wspólnie z innymi Wykonawcami, w/w wykaz dotyczy robót, w których wykonaniu Wykonawca ten bezpośrednio uczestniczył.</w:t>
      </w:r>
    </w:p>
    <w:p>
      <w:pPr>
        <w:pStyle w:val="Normal"/>
        <w:spacing w:lineRule="auto" w:line="240" w:before="0" w:after="0"/>
        <w:ind w:left="426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Wykonawcy niespełniający warunków udziału w postępowaniu zostaną wykluczeni z postępowania o udzielenia zamówienia publicznego, a ich oferty zostaną odrzucone.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 xml:space="preserve">III. TERMIN REALIZACJI ZAMÓWIENIA: 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</w:rPr>
        <w:t xml:space="preserve">Wykonawca będzie wykonywał przedmiot zamówienia w terminie od dnia podpisania umowy do dnia </w:t>
      </w:r>
      <w:r>
        <w:rPr>
          <w:rFonts w:cs="Times New Roman" w:ascii="Times New Roman" w:hAnsi="Times New Roman"/>
          <w:b/>
          <w:sz w:val="24"/>
        </w:rPr>
        <w:t>30.03.2022</w:t>
      </w:r>
      <w:r>
        <w:rPr>
          <w:rFonts w:cs="Times New Roman" w:ascii="Times New Roman" w:hAnsi="Times New Roman"/>
          <w:sz w:val="24"/>
        </w:rPr>
        <w:t xml:space="preserve"> r.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</w:rPr>
        <w:t>IV. KRYTERIA OCENY OFERT, ICH WAGI ORAZ OPIS SPOSOBU PRZYZNAWANIA PUNKTACJI ZA SPEŁNIENIE DANEGO KRYTERIUM:</w:t>
        <w:br/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Zamawiający wybierze ofertę najkorzystniejszą na podstawie kryteriów oceny ofert określonych w niniejszym zapytaniu ofertowym.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Zamawiający przy wyborze najkorzystniejszej oferty będzie się posługiwał następującymi kryteriami: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CENA (C) – waga 60%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OKRES GWARANCJI I RĘKOJMI (G) – waga 40%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Liczba punktów w kryterium Cena ( C ) obliczona będzie w następujący sposób: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ab/>
        <w:t xml:space="preserve"> cena oferty najtańszej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C =  ------------------------------  x 60 pkt.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ab/>
        <w:t xml:space="preserve"> cena oferty badanej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Liczba punktów w kryterium Okres gwarancji i rękojmi (G) obliczona będzie w następujący sposób: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          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okres gwarancji i rękojmi badanej oferty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 =  --------------------------------------------------------------------------------------  x 40 pkt.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 xml:space="preserve">najdłuższy zaoferowany okres gwarancji i rękojmi w złożonych ofertach, jednak nie dłuższy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 xml:space="preserve">niż maksymalny ustalony przez Zamawiającego okres gwarancji i rękojmi, tj. 60 m-cy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Zamawiający ustala okres gwarancji i rękojmi na: nie krótszy niż 36 miesięcy oraz nie dłuższy niż 60 miesięcy od dnia bezusterkowego odbioru końcowego wykonania przedmiotu zamówienia. Zatem Wykonawca powinien zaoferować okres gwarancji i rękojmi podając konkretną liczbę miesięcy, w przedziale od 36 do 60  miesięcy. Liczbę tę należy podać w formularzu ofertowym.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Zamawiający odrzuci ofertę w sytuacji, gdy Wykonawca w ofercie zaoferuje okres gwarancji i rękojmi krótszy niż 36 miesięcy.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przypadku, gdy Wykonawca nie określi w ofercie okresu gwarancji i rękojmi, Zamawiający przyjmie, iż Wykonawca zaoferował okres gwarancji i rękojmi 36-miesięczny.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podania przez Wykonawcę okresu gwarancji lub rękojmi dłuższego niż 60 miesięcy, do oceny i porównania ofert zostanie przyjęty okres gwarancji i rękojmi 60 miesięcy, natomiast do rozliczeń wynikających z umowy, zostanie przyjęty okres podany przez Wykonawcę w ofercie.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Obliczenia punktów będą dokonywane z dokładnością do dwóch miejsc po przecinku.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Ocena całkowita poszczególnych ofert zostanie obliczona w oparciu o wzór: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ab/>
        <w:t>O c  = C + G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gdzie 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 c – ocena całkowita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C    – liczba punktów przyznana ofercie ocenianej w kryterium „Cena”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G    – liczba punktów przyznana ofercie ocenianej w kryterium „Okres gwarancji i rękojmi”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Oferta, która uzyska najkorzystniejszy bilans ceny i kryterium „okres gwarancji i rękojmi”, tj. uzyska największą liczbę punktów w ocenie całkowitej, zostanie uznana jako najkorzystniejsza.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Jeżeli nie można wybrać najkorzystniejszej oferty z uwagi na to, że dwie lub więcej ofert przedstawia taki sam bilans ceny i innych kryteriów oceny ofert, zamawiający wybiera spośród tych ofert ofertę, która otrzymała najwyższą ocenę w kryterium o najwyższej wadze. Jeżeli oferty otrzymały taką samą ocenę w kryterium o najwyższej wadze, zamawiający wybiera ofertę z najniższą ceną. Jeżeli nadal nie można dokonać wyboru oferty zamawiający wzywa wykonawców, którzy złożyli te oferty, do złożenia w terminie określonym przez zamawiającego ofert dodatkowych zawierających nową cenę.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wyboru najkorzystniejszej oferty są dopuszczone wyłącznie oferty uznane za ważne niepodlegające odrzuceniu.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Standard"/>
        <w:spacing w:lineRule="auto" w:line="240" w:before="0" w:after="0"/>
        <w:rPr/>
      </w:pPr>
      <w:r>
        <w:rPr>
          <w:rFonts w:cs="Times New Roman" w:ascii="Times New Roman" w:hAnsi="Times New Roman"/>
          <w:b/>
          <w:sz w:val="24"/>
        </w:rPr>
        <w:t>V. OPIS SPOSOBU PRZYGOTOWANIA OFERTY</w:t>
      </w:r>
      <w:r>
        <w:rPr>
          <w:rFonts w:eastAsia="Calibri" w:cs="Times New Roman" w:ascii="Times New Roman" w:hAnsi="Times New Roman"/>
          <w:b/>
          <w:kern w:val="0"/>
          <w:sz w:val="24"/>
        </w:rPr>
        <w:t xml:space="preserve"> I </w:t>
      </w:r>
      <w:r>
        <w:rPr>
          <w:rFonts w:cs="Times New Roman" w:ascii="Times New Roman" w:hAnsi="Times New Roman"/>
          <w:b/>
          <w:sz w:val="24"/>
        </w:rPr>
        <w:t>TERMIN SKŁADANIA OFERT: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1. Przed przystąpieniem do przygotowania oferty należy zapoznać się z dokumentacją projektową. Dokumentacja techniczna jest udostępniona wykonawcom jako załącznik do zapytania ofertowego.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2. Wykonawca zobligowany jest do wypełnienia formularza ofertowego z wykorzystaniem wzoru stanowiącego załącznik do zapytania ofertowego. Wynagrodzenie Wykonawcy, zaoferowane w ofercie Wykonawcy, winno obejmować wszystkie czynności związane z realizacją przedmiotu zamówienia.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Ponadto do oferty Wykonawca powinien dołączyć dokument potwierdzający umocowanie do podpisania oferty, np. aktualny odpis z KRS, CEIDG lub stosowne pełnomocnictwo.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3. Do oferty należy załączyć kosztorys ofertowy sporządzony na podstawie przedmiaru robót, stanowiącego załącznik.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4. Formularz ofertowy wraz z kosztorysem ofertowym i wykazem robót budowlanych należy złożyć w nieprzezroczystej, zabezpieczonej przed otwarciem kopercie (paczce). Kopertę (paczkę) należy opisać następująco: „</w:t>
      </w:r>
      <w:r>
        <w:rPr>
          <w:rFonts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Budowa przejścia dla pieszych na ul. 700-lecia w Jutrosinie</w:t>
      </w:r>
      <w:r>
        <w:rPr>
          <w:rFonts w:cs="Times New Roman" w:ascii="Times New Roman" w:hAnsi="Times New Roman"/>
          <w:sz w:val="24"/>
          <w:szCs w:val="24"/>
        </w:rPr>
        <w:t xml:space="preserve">”. </w:t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Ofertę należy złożyć w siedzibie Zamawiającego w Urzędzie Miasta i Gminy w Jutrosinie, ul. Rynek 26, 63-930 Jutrosin, pok. nr 5 (sekretariat) w nieprzekraczalnym terminie: do dnia </w:t>
      </w:r>
      <w:r>
        <w:rPr>
          <w:rFonts w:cs="Times New Roman" w:ascii="Times New Roman" w:hAnsi="Times New Roman"/>
          <w:b/>
          <w:bCs/>
          <w:sz w:val="24"/>
          <w:szCs w:val="24"/>
        </w:rPr>
        <w:t>08</w:t>
      </w:r>
      <w:r>
        <w:rPr>
          <w:rFonts w:cs="Times New Roman" w:ascii="Times New Roman" w:hAnsi="Times New Roman"/>
          <w:b/>
          <w:sz w:val="24"/>
          <w:szCs w:val="24"/>
        </w:rPr>
        <w:t>.1</w:t>
      </w:r>
      <w:r>
        <w:rPr>
          <w:rFonts w:cs="Times New Roman" w:ascii="Times New Roman" w:hAnsi="Times New Roman"/>
          <w:b/>
          <w:sz w:val="24"/>
          <w:szCs w:val="24"/>
        </w:rPr>
        <w:t>2</w:t>
      </w:r>
      <w:r>
        <w:rPr>
          <w:rFonts w:cs="Times New Roman" w:ascii="Times New Roman" w:hAnsi="Times New Roman"/>
          <w:b/>
          <w:sz w:val="24"/>
          <w:szCs w:val="24"/>
        </w:rPr>
        <w:t>.2021 r.</w:t>
      </w:r>
      <w:r>
        <w:rPr>
          <w:rFonts w:cs="Times New Roman" w:ascii="Times New Roman" w:hAnsi="Times New Roman"/>
          <w:sz w:val="24"/>
          <w:szCs w:val="24"/>
        </w:rPr>
        <w:t xml:space="preserve"> do godz. </w:t>
      </w:r>
      <w:r>
        <w:rPr>
          <w:rFonts w:cs="Times New Roman" w:ascii="Times New Roman" w:hAnsi="Times New Roman"/>
          <w:b/>
          <w:sz w:val="24"/>
          <w:szCs w:val="24"/>
        </w:rPr>
        <w:t>10:00.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Otwarcie ofert nastąpi w siedzibie Zamawiającego w Urzędzie Miasta i Gminy w Jutrosinie, ul. Rynek 26, 63-930 Jutrosin, w sali narad, w dniu </w:t>
      </w:r>
      <w:r>
        <w:rPr>
          <w:rFonts w:eastAsia="Lucida Sans Unicode" w:cs="Times New Roman" w:ascii="Times New Roman" w:hAnsi="Times New Roman"/>
          <w:color w:val="auto"/>
          <w:kern w:val="2"/>
          <w:sz w:val="24"/>
          <w:szCs w:val="24"/>
          <w:lang w:val="pl-PL" w:eastAsia="en-US" w:bidi="ar-SA"/>
        </w:rPr>
        <w:t>08</w:t>
      </w:r>
      <w:r>
        <w:rPr>
          <w:rFonts w:cs="Times New Roman" w:ascii="Times New Roman" w:hAnsi="Times New Roman"/>
          <w:sz w:val="24"/>
          <w:szCs w:val="24"/>
        </w:rPr>
        <w:t>.1</w:t>
      </w:r>
      <w:r>
        <w:rPr>
          <w:rFonts w:cs="Times New Roman" w:ascii="Times New Roman" w:hAnsi="Times New Roman"/>
          <w:sz w:val="24"/>
          <w:szCs w:val="24"/>
        </w:rPr>
        <w:t>2</w:t>
      </w:r>
      <w:r>
        <w:rPr>
          <w:rFonts w:cs="Times New Roman" w:ascii="Times New Roman" w:hAnsi="Times New Roman"/>
          <w:sz w:val="24"/>
          <w:szCs w:val="24"/>
        </w:rPr>
        <w:t>.2021 roku o godz. 10:15.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VI. INFORMACJE DODATKOWE: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Zamawiający może wystąpić do oferentów o korektę oczywistych omyłek pisarskich lub rachunkowych, o doprecyzowanie lub przedstawienie wyjaśnień dotyczących treści złożonych ofert, o uzupełnienie braków lub o dostarczenie dokumentów potwierdzających informacje zawarte w złożonych oświadczeniach.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 Zamawiający odrzuca ofertę, jeżeli złożona oferta nie odpowiada wymaganiom i zapisom zawartym w niniejszym zapytaniu ofertowym.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VII. INFORMACJA O MOŻLIWOŚCI SKŁADANIA OFERT CZEŚCIOWYCH LUB WARIANTOWYCH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Zamawiający nie przewiduje możliwości składania ofert częściowych lub wariantowych.</w:t>
      </w:r>
    </w:p>
    <w:p>
      <w:pPr>
        <w:pStyle w:val="Standard"/>
        <w:spacing w:lineRule="auto" w:line="240" w:before="0" w:after="0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</w:r>
    </w:p>
    <w:p>
      <w:pPr>
        <w:pStyle w:val="Standard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sz w:val="24"/>
        </w:rPr>
        <w:t xml:space="preserve">VIII. </w:t>
      </w:r>
      <w:r>
        <w:rPr>
          <w:rFonts w:cs="Times New Roman" w:ascii="Times New Roman" w:hAnsi="Times New Roman"/>
          <w:b/>
          <w:bCs/>
          <w:sz w:val="24"/>
        </w:rPr>
        <w:t>KLAUZULA INFORMACYJNA RODO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Zgodnie z klauzulą informacyjną wynikającą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1) administratorem Pani/Pana danych osobowych jest: Burmistrz Jutrosina z siedzibą w Urzędzie Miasta i Gminy w Jutrosinie, ul. Rynek 26, 63-930 Jutrosin;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2) kontakt z inspektorem ochrony danych osobowych: adres e-mail - , tel. 65 5472517;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3) Pani/Pana dane osobowe przetwarzane będą na podstawie art. 6 ust. 1 lit. b) i c) RODO w celu związanym z postępowaniem pn. „Poprawa walorów środowiskowych na terenie gminy Jutrosin poprzez renowację stawu wraz z rekreacyjnym zagospodarowaniem terenu.” nr sprawy RIOSiGN.271.6.2021 prowadzonym w trybie zapytania ofertowego;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4) odbiorcami Pani/Pana danych osobowych będą osoby lub podmioty, którym udostępniona zostanie dokumentacja postępowania w oparciu o art. 18 oraz art. 74 ustawy z dnia 11 września 2019 r. Prawo zamówień publicznych (t. j. Dz. U. z 2019 poz. 2019 z późn. zm.) dalej „ustawa PZP”;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5) dane mogą być przekazywane poza teren UE;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6) Pani/Pana dane osobowe będą przechowywane, zgodnie z art. 78 ustawy PZP, przez okres 4 lat od dnia zakończenia postępowania o udzielenie zamówienia, a jeżeli czas trwania umowy przekracza 4 lata, okres przechowywania obejmujący cały czas trwania umowy;</w:t>
        <w:br/>
        <w:t>7) 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8) w odniesieniu do Pani/Pana danych osobowych decyzje nie będą podejmowane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 sposób zautomatyzowany, stosowanie do art. 22 RODO, i nie będą profilowane;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9) posiada Pani/Pan: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a) na podstawie art. 15 RODO prawo dostępu do danych osobowych Pani/Pana dotyczących (w przypadku gdy wykonanie obowiązków, o których mowa w art. 15 ust. 1-3 RODO, wymagałoby niewspółmiernie dużego wysiłku, zamawiający może żądać od osoby, której dane dotyczą, wskazania dodatkowych informacji mających na celu sprecyzowanie żądania, w szczególności podania nazwy lub daty postępowania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o udzielenie zamówienia publicznego);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b) na podstawie art. 16 RODO prawo do sprostowania lub uzupełnienia Pani/Pana danych osobowych (skorzystanie z prawa do sprostowania nie może skutkować zmianą wyniku postępowania o udzielenie zamówienia publicznego ani zmianą postanowień umowy w zakresie niezgodnym z ustawą PZP oraz nie może naruszać integralności protokołu oraz jego załączników);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c) na podstawie art. 18 RODO prawo żądania od administratora ograniczenia przetwarzania danych osobowych z zastrzeżeniem przypadków, o których mowa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w art. 18 ust. 2 RODO (prawo do ograniczenia przetwarzania nie ma zastosowania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w odniesieniu do przechowywania, w celu zapewnienia korzystania ze środków ochrony prawnej lub w celu ochrony praw innej osoby fizycznej lub prawnej, lub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z uwagi na ważne względy interesu publicznego Unii Europejskiej lub państwa członkowskiego) - wystąpienie z żądaniem, o którym mowa w art. 18 ust. 1 RODO, nie ogranicza przetwarzania danych osobowych do czasu zakończenia postępowania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o udzielenie zamówienia publicznego; 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d) prawo do wniesienia skargi do Prezesa Urzędu Ochrony Danych Osobowych, gdy uzna Pani/Pan, że przetwarzanie danych osobowych Pani/Pana dotyczących narusza przepisy RODO;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10) nie przysługuje Pani/Panu: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a) w związku z art. 17 ust. 3 lit. b, d lub e RODO prawo do usunięcia danych osobowych;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b) prawo do przenoszenia danych osobowych, o którym mowa w art. 20 RODO;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c) na podstawie art. 21 RODO prawo sprzeciwu, wobec przetwarzania danych osobowych, gdyż podstawą prawną przetwarzania Pani/Pana danych osobowych jest art. 6 ust. 1 lit. b) i c) RODO.</w:t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andard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</w:rPr>
      </w:pPr>
      <w:r>
        <w:rPr>
          <w:rFonts w:cs="Times New Roman" w:ascii="Times New Roman" w:hAnsi="Times New Roman"/>
          <w:b/>
          <w:sz w:val="24"/>
        </w:rPr>
        <w:t>ZAŁĄCZNIKI ZAPYTANIA OFERTOWEGO: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Formularz ofertowy.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>Wykaz robót.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Projekt budowlany wraz ze specyfikacją techniczną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  <w:t xml:space="preserve">Przedmiar robót, </w:t>
      </w:r>
      <w:r>
        <w:rPr>
          <w:rFonts w:cs="Times New Roman" w:ascii="Times New Roman" w:hAnsi="Times New Roman"/>
          <w:sz w:val="24"/>
        </w:rPr>
        <w:t>kosztorys ofertowy</w:t>
      </w:r>
    </w:p>
    <w:p>
      <w:pPr>
        <w:pStyle w:val="ListParagraph"/>
        <w:tabs>
          <w:tab w:val="clear" w:pos="708"/>
          <w:tab w:val="left" w:pos="284" w:leader="none"/>
        </w:tabs>
        <w:spacing w:lineRule="auto" w:line="240" w:before="0" w:after="0"/>
        <w:ind w:left="0" w:right="0" w:hanging="0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709" w:top="1134" w:footer="0" w:bottom="1134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>
        <w:shd w:fill="FFFF00" w:val="clear"/>
      </w:rPr>
    </w:pPr>
    <w:r>
      <w:rPr>
        <w:shd w:fill="FFFF00" w:val="clear"/>
      </w:rPr>
    </w:r>
  </w:p>
  <w:p>
    <w:pPr>
      <w:pStyle w:val="Gwka"/>
      <w:jc w:val="center"/>
      <w:rPr>
        <w:rFonts w:ascii="Tahoma" w:hAnsi="Tahoma" w:cs="Tahoma"/>
        <w:sz w:val="12"/>
        <w:szCs w:val="16"/>
        <w:shd w:fill="FFFF00" w:val="clear"/>
      </w:rPr>
    </w:pPr>
    <w:r>
      <w:rPr>
        <w:rFonts w:cs="Tahoma" w:ascii="Tahoma" w:hAnsi="Tahoma"/>
        <w:sz w:val="12"/>
        <w:szCs w:val="16"/>
        <w:shd w:fill="FFFF00" w:val="clear"/>
      </w:rPr>
    </w:r>
  </w:p>
  <w:p>
    <w:pPr>
      <w:pStyle w:val="Gwka"/>
      <w:ind w:left="2552" w:right="0" w:hanging="0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</w:r>
  </w:p>
  <w:p>
    <w:pPr>
      <w:pStyle w:val="Gwka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</w:r>
  </w:p>
  <w:p>
    <w:pPr>
      <w:pStyle w:val="Gwka"/>
      <w:jc w:val="center"/>
      <w:rPr>
        <w:rFonts w:ascii="Tahoma" w:hAnsi="Tahoma" w:cs="Tahoma"/>
        <w:sz w:val="16"/>
        <w:szCs w:val="16"/>
      </w:rPr>
    </w:pPr>
    <w:r>
      <w:rPr>
        <w:rFonts w:cs="Tahoma" w:ascii="Tahoma" w:hAnsi="Tahoma"/>
        <w:sz w:val="16"/>
        <w:szCs w:val="16"/>
      </w:rPr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Tekstpodstawowy2Znak">
    <w:name w:val="Tekst podstawowy 2 Znak"/>
    <w:basedOn w:val="DefaultParagraphFont"/>
    <w:qFormat/>
    <w:rPr>
      <w:rFonts w:ascii="Times New Roman" w:hAnsi="Times New Roman" w:eastAsia="Times New Roman" w:cs="Times New Roman"/>
      <w:b/>
      <w:kern w:val="2"/>
      <w:sz w:val="28"/>
      <w:szCs w:val="24"/>
      <w:lang w:eastAsia="pl-PL"/>
    </w:rPr>
  </w:style>
  <w:style w:type="character" w:styleId="Czeinternetowe">
    <w:name w:val="Łącze internetowe"/>
    <w:basedOn w:val="DefaultParagraphFont"/>
    <w:rPr>
      <w:color w:val="0000FF"/>
      <w:u w:val="single"/>
    </w:rPr>
  </w:style>
  <w:style w:type="character" w:styleId="TekstdymkaZnak">
    <w:name w:val="Tekst dymka Znak"/>
    <w:basedOn w:val="DefaultParagraphFont"/>
    <w:qFormat/>
    <w:rPr>
      <w:rFonts w:ascii="Tahoma" w:hAnsi="Tahoma" w:cs="Tahoma"/>
      <w:sz w:val="16"/>
      <w:szCs w:val="16"/>
    </w:rPr>
  </w:style>
  <w:style w:type="character" w:styleId="NagwekZnak">
    <w:name w:val="Nagłówek Znak"/>
    <w:basedOn w:val="DefaultParagraphFont"/>
    <w:qFormat/>
    <w:rPr/>
  </w:style>
  <w:style w:type="character" w:styleId="StopkaZnak">
    <w:name w:val="Stopka Znak"/>
    <w:basedOn w:val="DefaultParagraphFont"/>
    <w:qFormat/>
    <w:rPr/>
  </w:style>
  <w:style w:type="character" w:styleId="TekstpodstawowywcityZnak">
    <w:name w:val="Tekst podstawowy wcięty Znak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>
    <w:name w:val="Tekst komentarza Znak"/>
    <w:basedOn w:val="DefaultParagraphFont"/>
    <w:qFormat/>
    <w:rPr>
      <w:sz w:val="20"/>
      <w:szCs w:val="20"/>
    </w:rPr>
  </w:style>
  <w:style w:type="character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styleId="TekstprzypisukocowegoZnak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andard">
    <w:name w:val="Standard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  <w:textAlignment w:val="baseline"/>
    </w:pPr>
    <w:rPr>
      <w:rFonts w:ascii="Calibri" w:hAnsi="Calibri" w:eastAsia="Lucida Sans Unicode" w:cs="Tahoma"/>
      <w:color w:val="auto"/>
      <w:kern w:val="2"/>
      <w:sz w:val="22"/>
      <w:szCs w:val="22"/>
      <w:lang w:val="pl-PL" w:eastAsia="en-US" w:bidi="ar-SA"/>
    </w:rPr>
  </w:style>
  <w:style w:type="paragraph" w:styleId="BodyText2">
    <w:name w:val="Body Text 2"/>
    <w:qFormat/>
    <w:pPr>
      <w:widowControl w:val="false"/>
      <w:suppressAutoHyphens w:val="true"/>
      <w:kinsoku w:val="true"/>
      <w:overflowPunct w:val="true"/>
      <w:autoSpaceDE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b/>
      <w:color w:val="auto"/>
      <w:kern w:val="2"/>
      <w:sz w:val="28"/>
      <w:szCs w:val="24"/>
      <w:lang w:val="pl-PL" w:eastAsia="pl-PL" w:bidi="ar-SA"/>
    </w:rPr>
  </w:style>
  <w:style w:type="paragraph" w:styleId="ListParagraph">
    <w:name w:val="List Paragraph"/>
    <w:qFormat/>
    <w:pPr>
      <w:widowControl w:val="false"/>
      <w:suppressAutoHyphens w:val="true"/>
      <w:kinsoku w:val="true"/>
      <w:overflowPunct w:val="true"/>
      <w:autoSpaceDE w:val="true"/>
      <w:bidi w:val="0"/>
      <w:spacing w:lineRule="auto" w:line="276" w:before="0" w:after="200"/>
      <w:ind w:left="720" w:right="0" w:hanging="0"/>
      <w:jc w:val="left"/>
      <w:textAlignment w:val="baseline"/>
    </w:pPr>
    <w:rPr>
      <w:rFonts w:ascii="Calibri" w:hAnsi="Calibri" w:eastAsia="Lucida Sans Unicode" w:cs="Tahoma"/>
      <w:color w:val="auto"/>
      <w:kern w:val="2"/>
      <w:sz w:val="22"/>
      <w:szCs w:val="22"/>
      <w:lang w:val="pl-PL" w:eastAsia="en-US" w:bidi="ar-SA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Wcicietrecitekstu">
    <w:name w:val="Body Text Indent"/>
    <w:basedOn w:val="Normal"/>
    <w:pPr>
      <w:spacing w:lineRule="auto" w:line="240" w:before="0" w:after="120"/>
      <w:ind w:left="283" w:right="0" w:hanging="0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Annotationtext">
    <w:name w:val="annotation text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Przypiskocowy">
    <w:name w:val="Endnote Text"/>
    <w:basedOn w:val="Normal"/>
    <w:pPr>
      <w:spacing w:lineRule="auto" w:line="240" w:before="0" w:after="0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Application>LibreOffice/7.2.2.2$Windows_X86_64 LibreOffice_project/02b2acce88a210515b4a5bb2e46cbfb63fe97d56</Application>
  <AppVersion>15.0000</AppVersion>
  <Pages>6</Pages>
  <Words>2159</Words>
  <Characters>13562</Characters>
  <CharactersWithSpaces>15692</CharactersWithSpaces>
  <Paragraphs>119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2021-11-08T14:28:00Z</dcterms:created>
  <dc:creator>Jola</dc:creator>
  <dc:description/>
  <dc:language>pl-PL</dc:language>
  <cp:lastModifiedBy/>
  <cp:lastPrinted>2021-11-17T10:12:00Z</cp:lastPrinted>
  <dcterms:modified xsi:type="dcterms:W3CDTF">2021-12-03T10:36:18Z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